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Wstęp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    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3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proofErr w:type="spellStart"/>
      <w:r w:rsidRPr="00B32AF0">
        <w:rPr>
          <w:rFonts w:asciiTheme="majorHAnsi" w:hAnsiTheme="majorHAnsi" w:cs="Cambria"/>
          <w:sz w:val="24"/>
          <w:szCs w:val="24"/>
        </w:rPr>
        <w:t>Introduction</w:t>
      </w:r>
      <w:proofErr w:type="spellEnd"/>
      <w:r w:rsidRPr="00B32AF0">
        <w:rPr>
          <w:rFonts w:asciiTheme="majorHAnsi" w:hAnsiTheme="majorHAnsi" w:cs="Cambria"/>
          <w:sz w:val="24"/>
          <w:szCs w:val="24"/>
        </w:rPr>
        <w:t xml:space="preserve">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    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7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 xml:space="preserve">Bożena Witek, Adam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Kołątaj</w:t>
      </w:r>
      <w:proofErr w:type="spellEnd"/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-Bold"/>
          <w:b/>
          <w:bCs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Zmienność jako podstawowe prawo przyrody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 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10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Alina Krzemińska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 w:cs="Cambria"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>Zmienność form morfologicznych w ujęciu ewolucyjnym</w:t>
      </w:r>
      <w:r>
        <w:rPr>
          <w:rFonts w:asciiTheme="majorHAnsi" w:hAnsiTheme="majorHAnsi" w:cs="Cambria"/>
          <w:sz w:val="24"/>
          <w:szCs w:val="24"/>
        </w:rPr>
        <w:t xml:space="preserve"> </w:t>
      </w:r>
      <w:r w:rsidRPr="00B32AF0">
        <w:rPr>
          <w:rFonts w:asciiTheme="majorHAnsi" w:hAnsiTheme="majorHAnsi" w:cs="Cambria"/>
          <w:sz w:val="24"/>
          <w:szCs w:val="24"/>
        </w:rPr>
        <w:t>na przykładzie trąbowców (</w:t>
      </w:r>
      <w:proofErr w:type="spellStart"/>
      <w:r w:rsidRPr="00B32AF0">
        <w:rPr>
          <w:rFonts w:asciiTheme="majorHAnsi" w:hAnsiTheme="majorHAnsi" w:cs="Cambria"/>
          <w:sz w:val="24"/>
          <w:szCs w:val="24"/>
        </w:rPr>
        <w:t>Proboscidea</w:t>
      </w:r>
      <w:proofErr w:type="spellEnd"/>
      <w:r w:rsidRPr="00B32AF0">
        <w:rPr>
          <w:rFonts w:asciiTheme="majorHAnsi" w:hAnsiTheme="majorHAnsi" w:cs="Cambria"/>
          <w:sz w:val="24"/>
          <w:szCs w:val="24"/>
        </w:rPr>
        <w:t xml:space="preserve">)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 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20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 xml:space="preserve">Gabriela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Bugla-Płoskońska</w:t>
      </w:r>
      <w:proofErr w:type="spellEnd"/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-Bold"/>
          <w:b/>
          <w:bCs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Bioróżnorodność w bakteriologii jako złożony problem biologiczny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 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35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 xml:space="preserve">Dany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Azar</w:t>
      </w:r>
      <w:proofErr w:type="spellEnd"/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-Bold"/>
          <w:b/>
          <w:bCs/>
          <w:sz w:val="24"/>
          <w:szCs w:val="24"/>
          <w:lang w:val="en-US"/>
        </w:rPr>
      </w:pPr>
      <w:r w:rsidRPr="00B32AF0">
        <w:rPr>
          <w:rFonts w:asciiTheme="majorHAnsi" w:hAnsiTheme="majorHAnsi" w:cs="Cambria"/>
          <w:sz w:val="24"/>
          <w:szCs w:val="24"/>
          <w:lang w:val="en-US"/>
        </w:rPr>
        <w:t xml:space="preserve">Lebanese amber: a “Guinness Book of Records” </w:t>
      </w:r>
      <w:r>
        <w:rPr>
          <w:rFonts w:asciiTheme="majorHAnsi" w:hAnsiTheme="majorHAnsi" w:cs="Cambria"/>
          <w:sz w:val="24"/>
          <w:szCs w:val="24"/>
          <w:lang w:val="en-US"/>
        </w:rPr>
        <w:tab/>
      </w:r>
      <w:r>
        <w:rPr>
          <w:rFonts w:asciiTheme="majorHAnsi" w:hAnsiTheme="majorHAnsi" w:cs="Cambria"/>
          <w:sz w:val="24"/>
          <w:szCs w:val="24"/>
          <w:lang w:val="en-US"/>
        </w:rPr>
        <w:tab/>
      </w:r>
      <w:r>
        <w:rPr>
          <w:rFonts w:asciiTheme="majorHAnsi" w:hAnsiTheme="majorHAnsi" w:cs="Cambria"/>
          <w:sz w:val="24"/>
          <w:szCs w:val="24"/>
          <w:lang w:val="en-US"/>
        </w:rPr>
        <w:tab/>
      </w:r>
      <w:r>
        <w:rPr>
          <w:rFonts w:asciiTheme="majorHAnsi" w:hAnsiTheme="majorHAnsi" w:cs="Cambria"/>
          <w:sz w:val="24"/>
          <w:szCs w:val="24"/>
          <w:lang w:val="en-US"/>
        </w:rPr>
        <w:tab/>
      </w:r>
      <w:r>
        <w:rPr>
          <w:rFonts w:asciiTheme="majorHAnsi" w:hAnsiTheme="majorHAnsi" w:cs="Cambria"/>
          <w:sz w:val="24"/>
          <w:szCs w:val="24"/>
          <w:lang w:val="en-US"/>
        </w:rPr>
        <w:tab/>
        <w:t xml:space="preserve">     </w:t>
      </w:r>
      <w:r w:rsidRPr="00B32AF0">
        <w:rPr>
          <w:rFonts w:asciiTheme="majorHAnsi" w:hAnsiTheme="majorHAnsi" w:cs="Cambria-Bold"/>
          <w:b/>
          <w:bCs/>
          <w:sz w:val="24"/>
          <w:szCs w:val="24"/>
          <w:lang w:val="en-US"/>
        </w:rPr>
        <w:t>44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  <w:lang w:val="en-US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  <w:lang w:val="en-US"/>
        </w:rPr>
      </w:pP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  <w:lang w:val="en-US"/>
        </w:rPr>
        <w:t>Beata</w:t>
      </w:r>
      <w:proofErr w:type="spellEnd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  <w:lang w:val="en-US"/>
        </w:rPr>
        <w:t>Gabryś</w:t>
      </w:r>
      <w:proofErr w:type="spellEnd"/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"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>Jak owady oligofagi odnajdują odpowiednie rośliny</w:t>
      </w:r>
      <w:r>
        <w:rPr>
          <w:rFonts w:asciiTheme="majorHAnsi" w:hAnsiTheme="majorHAnsi" w:cs="Cambria"/>
          <w:sz w:val="24"/>
          <w:szCs w:val="24"/>
        </w:rPr>
        <w:t xml:space="preserve"> </w:t>
      </w:r>
      <w:r w:rsidRPr="00B32AF0">
        <w:rPr>
          <w:rFonts w:asciiTheme="majorHAnsi" w:hAnsiTheme="majorHAnsi" w:cs="Cambria"/>
          <w:sz w:val="24"/>
          <w:szCs w:val="24"/>
        </w:rPr>
        <w:t xml:space="preserve">żywicielskie 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"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w zróżnicowanym biologicznie środowisku?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 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61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Grzegorz Rut, Andrzej Rzepka, Agata Stokłosa-Wojtaś, Grzegorz Migdałek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"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Wpływ substancji </w:t>
      </w:r>
      <w:proofErr w:type="spellStart"/>
      <w:r w:rsidRPr="00B32AF0">
        <w:rPr>
          <w:rFonts w:asciiTheme="majorHAnsi" w:hAnsiTheme="majorHAnsi" w:cs="Cambria"/>
          <w:sz w:val="24"/>
          <w:szCs w:val="24"/>
        </w:rPr>
        <w:t>allelopatycznych</w:t>
      </w:r>
      <w:proofErr w:type="spellEnd"/>
      <w:r w:rsidRPr="00B32AF0">
        <w:rPr>
          <w:rFonts w:asciiTheme="majorHAnsi" w:hAnsiTheme="majorHAnsi" w:cs="Cambria"/>
          <w:sz w:val="24"/>
          <w:szCs w:val="24"/>
        </w:rPr>
        <w:t xml:space="preserve"> na kiełkowanie nasion,</w:t>
      </w:r>
      <w:r>
        <w:rPr>
          <w:rFonts w:asciiTheme="majorHAnsi" w:hAnsiTheme="majorHAnsi" w:cs="Cambria"/>
          <w:sz w:val="24"/>
          <w:szCs w:val="24"/>
        </w:rPr>
        <w:t xml:space="preserve"> </w:t>
      </w:r>
      <w:r w:rsidRPr="00B32AF0">
        <w:rPr>
          <w:rFonts w:asciiTheme="majorHAnsi" w:hAnsiTheme="majorHAnsi" w:cs="Cambria"/>
          <w:sz w:val="24"/>
          <w:szCs w:val="24"/>
        </w:rPr>
        <w:t xml:space="preserve">wzrost 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"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i rozwój roślin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 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78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Danuta Cichy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-Bold"/>
          <w:b/>
          <w:bCs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Różnorodność biologiczna jako moduł nauczania szkolnego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 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88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  <w:lang w:val="en-US"/>
        </w:rPr>
      </w:pP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Francine</w:t>
      </w:r>
      <w:proofErr w:type="spellEnd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Pellaud</w:t>
      </w:r>
      <w:proofErr w:type="spellEnd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 xml:space="preserve">,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André</w:t>
      </w:r>
      <w:proofErr w:type="spellEnd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Giordan</w:t>
      </w:r>
      <w:proofErr w:type="spellEnd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 xml:space="preserve">,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R-Emmanuel</w:t>
      </w:r>
      <w:proofErr w:type="spellEnd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 xml:space="preserve">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Ea</w:t>
      </w: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  <w:lang w:val="en-US"/>
        </w:rPr>
        <w:t>stes</w:t>
      </w:r>
      <w:proofErr w:type="spellEnd"/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-Bold"/>
          <w:b/>
          <w:bCs/>
          <w:sz w:val="24"/>
          <w:szCs w:val="24"/>
        </w:rPr>
      </w:pPr>
      <w:proofErr w:type="spellStart"/>
      <w:r w:rsidRPr="00B32AF0">
        <w:rPr>
          <w:rFonts w:asciiTheme="majorHAnsi" w:hAnsiTheme="majorHAnsi" w:cs="Cambria"/>
          <w:sz w:val="24"/>
          <w:szCs w:val="24"/>
        </w:rPr>
        <w:t>Towards</w:t>
      </w:r>
      <w:proofErr w:type="spellEnd"/>
      <w:r w:rsidRPr="00B32AF0">
        <w:rPr>
          <w:rFonts w:asciiTheme="majorHAnsi" w:hAnsiTheme="majorHAnsi" w:cs="Cambria"/>
          <w:sz w:val="24"/>
          <w:szCs w:val="24"/>
        </w:rPr>
        <w:t xml:space="preserve"> </w:t>
      </w:r>
      <w:proofErr w:type="spellStart"/>
      <w:r w:rsidRPr="00B32AF0">
        <w:rPr>
          <w:rFonts w:asciiTheme="majorHAnsi" w:hAnsiTheme="majorHAnsi" w:cs="Cambria"/>
          <w:sz w:val="24"/>
          <w:szCs w:val="24"/>
        </w:rPr>
        <w:t>new</w:t>
      </w:r>
      <w:proofErr w:type="spellEnd"/>
      <w:r w:rsidRPr="00B32AF0">
        <w:rPr>
          <w:rFonts w:asciiTheme="majorHAnsi" w:hAnsiTheme="majorHAnsi" w:cs="Cambria"/>
          <w:sz w:val="24"/>
          <w:szCs w:val="24"/>
        </w:rPr>
        <w:t xml:space="preserve"> </w:t>
      </w:r>
      <w:proofErr w:type="spellStart"/>
      <w:r w:rsidRPr="00B32AF0">
        <w:rPr>
          <w:rFonts w:asciiTheme="majorHAnsi" w:hAnsiTheme="majorHAnsi" w:cs="Cambria"/>
          <w:sz w:val="24"/>
          <w:szCs w:val="24"/>
        </w:rPr>
        <w:t>educational</w:t>
      </w:r>
      <w:proofErr w:type="spellEnd"/>
      <w:r w:rsidRPr="00B32AF0">
        <w:rPr>
          <w:rFonts w:asciiTheme="majorHAnsi" w:hAnsiTheme="majorHAnsi" w:cs="Cambria"/>
          <w:sz w:val="24"/>
          <w:szCs w:val="24"/>
        </w:rPr>
        <w:t xml:space="preserve"> </w:t>
      </w:r>
      <w:proofErr w:type="spellStart"/>
      <w:r w:rsidRPr="00B32AF0">
        <w:rPr>
          <w:rFonts w:asciiTheme="majorHAnsi" w:hAnsiTheme="majorHAnsi" w:cs="Cambria"/>
          <w:sz w:val="24"/>
          <w:szCs w:val="24"/>
        </w:rPr>
        <w:t>paradigms</w:t>
      </w:r>
      <w:proofErr w:type="spellEnd"/>
      <w:r w:rsidRPr="00B32AF0">
        <w:rPr>
          <w:rFonts w:asciiTheme="majorHAnsi" w:hAnsiTheme="majorHAnsi" w:cs="Cambria"/>
          <w:sz w:val="24"/>
          <w:szCs w:val="24"/>
        </w:rPr>
        <w:t xml:space="preserve"> </w:t>
      </w:r>
      <w:r w:rsidRPr="00B32AF0">
        <w:rPr>
          <w:rFonts w:asciiTheme="majorHAnsi" w:hAnsiTheme="majorHAnsi" w:cs="Cambria"/>
          <w:sz w:val="24"/>
          <w:szCs w:val="24"/>
        </w:rPr>
        <w:tab/>
      </w:r>
      <w:r w:rsidRPr="00B32AF0"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 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98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 xml:space="preserve">Alicja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Walosik</w:t>
      </w:r>
      <w:proofErr w:type="spellEnd"/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"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>Zrównoważony rozwój i bioróżnorodność w formalnym</w:t>
      </w:r>
      <w:r>
        <w:rPr>
          <w:rFonts w:asciiTheme="majorHAnsi" w:hAnsiTheme="majorHAnsi" w:cs="Cambria"/>
          <w:sz w:val="24"/>
          <w:szCs w:val="24"/>
        </w:rPr>
        <w:t xml:space="preserve"> 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"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systemie kształcenia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127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Alina Stankiewicz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"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>Problemy bioróżnorodności w podstawie programowej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-Bold"/>
          <w:b/>
          <w:bCs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kształcenia ogólnego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142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Wojciech Mikos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-Bold"/>
          <w:b/>
          <w:bCs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Zagadnienia bioróżnorodności w programie nauczania przyrody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152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Maria Obrębska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-Bold"/>
          <w:b/>
          <w:bCs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Studenci wobec bioróżnorodności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157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Julian Piotr Sawiński</w:t>
      </w: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Cambria-Bold"/>
          <w:b/>
          <w:bCs/>
          <w:sz w:val="24"/>
          <w:szCs w:val="24"/>
        </w:rPr>
      </w:pPr>
      <w:r w:rsidRPr="00B32AF0">
        <w:rPr>
          <w:rFonts w:asciiTheme="majorHAnsi" w:hAnsiTheme="majorHAnsi" w:cs="Cambria"/>
          <w:sz w:val="24"/>
          <w:szCs w:val="24"/>
        </w:rPr>
        <w:t xml:space="preserve">O potrzebie uczenia się biologicznej systematyki </w:t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</w:r>
      <w:r>
        <w:rPr>
          <w:rFonts w:asciiTheme="majorHAnsi" w:hAnsiTheme="majorHAnsi" w:cs="Cambria"/>
          <w:sz w:val="24"/>
          <w:szCs w:val="24"/>
        </w:rPr>
        <w:tab/>
        <w:t xml:space="preserve">  </w:t>
      </w:r>
      <w:r w:rsidRPr="00B32AF0">
        <w:rPr>
          <w:rFonts w:asciiTheme="majorHAnsi" w:hAnsiTheme="majorHAnsi" w:cs="Cambria-Bold"/>
          <w:b/>
          <w:bCs/>
          <w:sz w:val="24"/>
          <w:szCs w:val="24"/>
        </w:rPr>
        <w:t>165</w:t>
      </w:r>
    </w:p>
    <w:p w:rsid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</w:p>
    <w:p w:rsidR="00B32AF0" w:rsidRPr="00B32AF0" w:rsidRDefault="00B32AF0" w:rsidP="00B32A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Italic"/>
          <w:b/>
          <w:bCs/>
          <w:i/>
          <w:iCs/>
          <w:sz w:val="24"/>
          <w:szCs w:val="24"/>
        </w:rPr>
      </w:pPr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 xml:space="preserve">Ulrich </w:t>
      </w:r>
      <w:proofErr w:type="spellStart"/>
      <w:r w:rsidRPr="00B32AF0">
        <w:rPr>
          <w:rFonts w:asciiTheme="majorHAnsi" w:hAnsiTheme="majorHAnsi" w:cs="Calibri-BoldItalic"/>
          <w:b/>
          <w:bCs/>
          <w:i/>
          <w:iCs/>
          <w:sz w:val="24"/>
          <w:szCs w:val="24"/>
        </w:rPr>
        <w:t>Kattmann</w:t>
      </w:r>
      <w:proofErr w:type="spellEnd"/>
    </w:p>
    <w:p w:rsidR="00933F13" w:rsidRPr="00B32AF0" w:rsidRDefault="00B32AF0" w:rsidP="00B32AF0">
      <w:pPr>
        <w:ind w:firstLine="708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B32AF0">
        <w:rPr>
          <w:rFonts w:asciiTheme="majorHAnsi" w:hAnsiTheme="majorHAnsi" w:cs="Cambria"/>
          <w:sz w:val="24"/>
          <w:szCs w:val="24"/>
        </w:rPr>
        <w:t>Students</w:t>
      </w:r>
      <w:proofErr w:type="spellEnd"/>
      <w:r w:rsidRPr="00B32AF0">
        <w:rPr>
          <w:rFonts w:asciiTheme="majorHAnsi" w:hAnsiTheme="majorHAnsi" w:cs="Cambria"/>
          <w:sz w:val="24"/>
          <w:szCs w:val="24"/>
        </w:rPr>
        <w:t xml:space="preserve">‘ </w:t>
      </w:r>
      <w:proofErr w:type="spellStart"/>
      <w:r w:rsidRPr="00B32AF0">
        <w:rPr>
          <w:rFonts w:asciiTheme="majorHAnsi" w:hAnsiTheme="majorHAnsi" w:cs="Cambria"/>
          <w:sz w:val="24"/>
          <w:szCs w:val="24"/>
        </w:rPr>
        <w:t>alternative</w:t>
      </w:r>
      <w:proofErr w:type="spellEnd"/>
      <w:r w:rsidRPr="00B32AF0">
        <w:rPr>
          <w:rFonts w:asciiTheme="majorHAnsi" w:hAnsiTheme="majorHAnsi" w:cs="Cambria"/>
          <w:sz w:val="24"/>
          <w:szCs w:val="24"/>
        </w:rPr>
        <w:t xml:space="preserve"> </w:t>
      </w:r>
      <w:proofErr w:type="spellStart"/>
      <w:r w:rsidRPr="00B32AF0">
        <w:rPr>
          <w:rFonts w:asciiTheme="majorHAnsi" w:hAnsiTheme="majorHAnsi" w:cs="Cambria"/>
          <w:sz w:val="24"/>
          <w:szCs w:val="24"/>
        </w:rPr>
        <w:t>concept</w:t>
      </w:r>
      <w:proofErr w:type="spellEnd"/>
      <w:r w:rsidRPr="00B32AF0">
        <w:rPr>
          <w:rFonts w:asciiTheme="majorHAnsi" w:hAnsiTheme="majorHAnsi" w:cs="Cambria"/>
          <w:sz w:val="24"/>
          <w:szCs w:val="24"/>
          <w:lang w:val="en-US"/>
        </w:rPr>
        <w:t xml:space="preserve">ions of animal classification </w:t>
      </w:r>
      <w:r>
        <w:rPr>
          <w:rFonts w:asciiTheme="majorHAnsi" w:hAnsiTheme="majorHAnsi" w:cs="Cambria"/>
          <w:sz w:val="24"/>
          <w:szCs w:val="24"/>
          <w:lang w:val="en-US"/>
        </w:rPr>
        <w:tab/>
      </w:r>
      <w:r>
        <w:rPr>
          <w:rFonts w:asciiTheme="majorHAnsi" w:hAnsiTheme="majorHAnsi" w:cs="Cambria"/>
          <w:sz w:val="24"/>
          <w:szCs w:val="24"/>
          <w:lang w:val="en-US"/>
        </w:rPr>
        <w:tab/>
      </w:r>
      <w:r>
        <w:rPr>
          <w:rFonts w:asciiTheme="majorHAnsi" w:hAnsiTheme="majorHAnsi" w:cs="Cambria"/>
          <w:sz w:val="24"/>
          <w:szCs w:val="24"/>
          <w:lang w:val="en-US"/>
        </w:rPr>
        <w:tab/>
        <w:t xml:space="preserve">  </w:t>
      </w:r>
      <w:r w:rsidRPr="00B32AF0">
        <w:rPr>
          <w:rFonts w:asciiTheme="majorHAnsi" w:hAnsiTheme="majorHAnsi" w:cs="Cambria-Bold"/>
          <w:b/>
          <w:bCs/>
          <w:sz w:val="24"/>
          <w:szCs w:val="24"/>
          <w:lang w:val="en-US"/>
        </w:rPr>
        <w:t>178</w:t>
      </w:r>
    </w:p>
    <w:sectPr w:rsidR="00933F13" w:rsidRPr="00B32AF0" w:rsidSect="0093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2AF0"/>
    <w:rsid w:val="00933F13"/>
    <w:rsid w:val="00B3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</cp:revision>
  <dcterms:created xsi:type="dcterms:W3CDTF">2015-10-04T21:13:00Z</dcterms:created>
  <dcterms:modified xsi:type="dcterms:W3CDTF">2015-10-04T21:19:00Z</dcterms:modified>
</cp:coreProperties>
</file>